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daefd3 [660]" angle="-135" focus="-50%" type="gradient"/>
    </v:background>
  </w:background>
  <w:body>
    <w:p w14:paraId="481A631B" w14:textId="708FBF22" w:rsidR="00925F54" w:rsidRDefault="00925F54" w:rsidP="00415D4C">
      <w:pPr>
        <w:ind w:left="0"/>
        <w:rPr>
          <w:rFonts w:cs="Arial"/>
          <w:sz w:val="24"/>
          <w:szCs w:val="24"/>
        </w:rPr>
      </w:pPr>
      <w:r w:rsidRPr="00600EC8">
        <w:rPr>
          <w:noProof/>
        </w:rPr>
        <w:drawing>
          <wp:anchor distT="0" distB="0" distL="114300" distR="114300" simplePos="0" relativeHeight="251658240" behindDoc="1" locked="0" layoutInCell="1" allowOverlap="1" wp14:anchorId="3BBA7674" wp14:editId="5C73348E">
            <wp:simplePos x="0" y="0"/>
            <wp:positionH relativeFrom="column">
              <wp:posOffset>17145</wp:posOffset>
            </wp:positionH>
            <wp:positionV relativeFrom="page">
              <wp:posOffset>409575</wp:posOffset>
            </wp:positionV>
            <wp:extent cx="6238875" cy="493395"/>
            <wp:effectExtent l="0" t="0" r="9525" b="1905"/>
            <wp:wrapTight wrapText="bothSides">
              <wp:wrapPolygon edited="0">
                <wp:start x="0" y="0"/>
                <wp:lineTo x="0" y="20849"/>
                <wp:lineTo x="21567" y="20849"/>
                <wp:lineTo x="21567" y="0"/>
                <wp:lineTo x="0" y="0"/>
              </wp:wrapPolygon>
            </wp:wrapTight>
            <wp:docPr id="1822296202" name="Obraz 1" descr="belka fewl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96202" name="Obraz 1822296202" descr="belka fewl 2021 - 202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28AD4" w14:textId="3147CCD6" w:rsidR="00B93945" w:rsidRDefault="00B93945" w:rsidP="00B93945">
      <w:pPr>
        <w:spacing w:line="276" w:lineRule="auto"/>
        <w:ind w:left="0"/>
        <w:rPr>
          <w:rFonts w:eastAsiaTheme="minorHAnsi" w:cs="Arial"/>
          <w:spacing w:val="0"/>
          <w:sz w:val="24"/>
          <w:szCs w:val="24"/>
        </w:rPr>
      </w:pPr>
      <w:r>
        <w:rPr>
          <w:rFonts w:cs="Arial"/>
          <w:sz w:val="24"/>
          <w:szCs w:val="24"/>
        </w:rPr>
        <w:t>Powiatowy Urząd Pracy w Zielonej Górze realizuje projekt „</w:t>
      </w:r>
      <w:r w:rsidRPr="005800AC">
        <w:rPr>
          <w:rFonts w:cs="Arial"/>
          <w:b/>
          <w:bCs/>
          <w:sz w:val="24"/>
          <w:szCs w:val="24"/>
        </w:rPr>
        <w:t>Aktywizacja zawodowa osób bezrobotnych z powiatu zielonogórskiego (</w:t>
      </w:r>
      <w:r w:rsidR="005800AC" w:rsidRPr="005800AC">
        <w:rPr>
          <w:rFonts w:cs="Arial"/>
          <w:b/>
          <w:bCs/>
          <w:sz w:val="24"/>
          <w:szCs w:val="24"/>
        </w:rPr>
        <w:t>I</w:t>
      </w:r>
      <w:r w:rsidRPr="005800AC">
        <w:rPr>
          <w:rFonts w:cs="Arial"/>
          <w:b/>
          <w:bCs/>
          <w:sz w:val="24"/>
          <w:szCs w:val="24"/>
        </w:rPr>
        <w:t>I)”</w:t>
      </w:r>
      <w:r>
        <w:rPr>
          <w:rFonts w:cs="Arial"/>
          <w:sz w:val="24"/>
          <w:szCs w:val="24"/>
        </w:rPr>
        <w:t xml:space="preserve"> współfinansowany z Europejskiego Funduszu Społecznego Plus w ramach Priorytetu 6 Fundusze Europejskie na wsparcie obywateli – rynek pracy, Działania 6.1 Aktywizacja osób pozostających bez pracy zarejestrowanych w powiatowych urzędach pracy Programu Fundusze Europejskie dla Lubuskiego 2021-2027. 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br/>
      </w:r>
      <w:r w:rsidRPr="005800AC">
        <w:rPr>
          <w:rFonts w:cs="Arial"/>
          <w:b/>
          <w:sz w:val="24"/>
          <w:szCs w:val="24"/>
        </w:rPr>
        <w:t>Okres realizacji projektu: od 01.01.202</w:t>
      </w:r>
      <w:r w:rsidR="005800AC" w:rsidRPr="005800AC">
        <w:rPr>
          <w:rFonts w:cs="Arial"/>
          <w:b/>
          <w:sz w:val="24"/>
          <w:szCs w:val="24"/>
        </w:rPr>
        <w:t>5</w:t>
      </w:r>
      <w:r w:rsidRPr="005800AC">
        <w:rPr>
          <w:rFonts w:cs="Arial"/>
          <w:b/>
          <w:sz w:val="24"/>
          <w:szCs w:val="24"/>
        </w:rPr>
        <w:t xml:space="preserve"> r. do 31.03.20</w:t>
      </w:r>
      <w:r w:rsidR="005800AC" w:rsidRPr="005800AC">
        <w:rPr>
          <w:rFonts w:cs="Arial"/>
          <w:b/>
          <w:sz w:val="24"/>
          <w:szCs w:val="24"/>
        </w:rPr>
        <w:t>27</w:t>
      </w:r>
      <w:r w:rsidRPr="005800AC">
        <w:rPr>
          <w:rFonts w:cs="Arial"/>
          <w:b/>
          <w:sz w:val="24"/>
          <w:szCs w:val="24"/>
        </w:rPr>
        <w:t xml:space="preserve"> r.</w:t>
      </w:r>
      <w:r w:rsidRPr="005800AC">
        <w:rPr>
          <w:rFonts w:cs="Arial"/>
          <w:bCs/>
          <w:sz w:val="24"/>
          <w:szCs w:val="24"/>
        </w:rPr>
        <w:br/>
      </w:r>
      <w:r>
        <w:rPr>
          <w:rFonts w:cs="Arial"/>
          <w:bCs/>
          <w:sz w:val="24"/>
          <w:szCs w:val="24"/>
        </w:rPr>
        <w:br/>
      </w:r>
      <w:r>
        <w:rPr>
          <w:rFonts w:eastAsiaTheme="minorHAnsi" w:cs="Arial"/>
          <w:spacing w:val="0"/>
          <w:sz w:val="24"/>
          <w:szCs w:val="24"/>
        </w:rPr>
        <w:t xml:space="preserve">Głównym celem projektu jest aktywizacja zawodowa osób bezrobotnych, zarejestrowanych </w:t>
      </w:r>
      <w:r>
        <w:rPr>
          <w:rFonts w:eastAsiaTheme="minorHAnsi" w:cs="Arial"/>
          <w:spacing w:val="0"/>
          <w:sz w:val="24"/>
          <w:szCs w:val="24"/>
        </w:rPr>
        <w:br/>
        <w:t xml:space="preserve">w Powiatowym Urzędzie Pracy w Zielonej Górze (oraz Filiach Urzędu) jako bezrobotne, </w:t>
      </w:r>
      <w:r>
        <w:rPr>
          <w:rFonts w:cs="Arial"/>
          <w:sz w:val="24"/>
          <w:szCs w:val="24"/>
          <w:lang w:eastAsia="pl-PL"/>
        </w:rPr>
        <w:t>wyłącznie z poniższej grupy docelowej</w:t>
      </w:r>
      <w:r>
        <w:rPr>
          <w:rFonts w:eastAsiaTheme="minorHAnsi" w:cs="Arial"/>
          <w:spacing w:val="0"/>
          <w:sz w:val="24"/>
          <w:szCs w:val="24"/>
        </w:rPr>
        <w:t>:</w:t>
      </w:r>
    </w:p>
    <w:p w14:paraId="1B14B4CB" w14:textId="77777777" w:rsidR="00B93945" w:rsidRDefault="00B93945" w:rsidP="00B93945">
      <w:pPr>
        <w:pStyle w:val="Akapitzlist"/>
        <w:numPr>
          <w:ilvl w:val="0"/>
          <w:numId w:val="9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>
        <w:rPr>
          <w:rFonts w:eastAsiaTheme="minorHAnsi" w:cs="Arial"/>
          <w:spacing w:val="0"/>
          <w:sz w:val="24"/>
          <w:szCs w:val="24"/>
        </w:rPr>
        <w:t>osoby młode do 29 roku życia,</w:t>
      </w:r>
    </w:p>
    <w:p w14:paraId="0468980E" w14:textId="77777777" w:rsidR="00B93945" w:rsidRDefault="00B93945" w:rsidP="00B93945">
      <w:pPr>
        <w:pStyle w:val="Akapitzlist"/>
        <w:numPr>
          <w:ilvl w:val="0"/>
          <w:numId w:val="9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>
        <w:rPr>
          <w:rFonts w:eastAsiaTheme="minorHAnsi" w:cs="Arial"/>
          <w:spacing w:val="0"/>
          <w:sz w:val="24"/>
          <w:szCs w:val="24"/>
        </w:rPr>
        <w:t xml:space="preserve">osoby po 50 roku życia, </w:t>
      </w:r>
    </w:p>
    <w:p w14:paraId="3B9E0F6D" w14:textId="77777777" w:rsidR="00B93945" w:rsidRDefault="00B93945" w:rsidP="00B93945">
      <w:pPr>
        <w:pStyle w:val="Akapitzlist"/>
        <w:numPr>
          <w:ilvl w:val="0"/>
          <w:numId w:val="9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>
        <w:rPr>
          <w:rFonts w:eastAsiaTheme="minorHAnsi" w:cs="Arial"/>
          <w:spacing w:val="0"/>
          <w:sz w:val="24"/>
          <w:szCs w:val="24"/>
        </w:rPr>
        <w:t>kobiety,</w:t>
      </w:r>
    </w:p>
    <w:p w14:paraId="39C2A73C" w14:textId="77777777" w:rsidR="00B93945" w:rsidRDefault="00B93945" w:rsidP="00B93945">
      <w:pPr>
        <w:pStyle w:val="Akapitzlist"/>
        <w:numPr>
          <w:ilvl w:val="0"/>
          <w:numId w:val="10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>
        <w:rPr>
          <w:rFonts w:eastAsiaTheme="minorHAnsi" w:cs="Arial"/>
          <w:spacing w:val="0"/>
          <w:sz w:val="24"/>
          <w:szCs w:val="24"/>
        </w:rPr>
        <w:t xml:space="preserve">osoby niepełnosprawne, </w:t>
      </w:r>
    </w:p>
    <w:p w14:paraId="7B966C14" w14:textId="77777777" w:rsidR="00B93945" w:rsidRDefault="00B93945" w:rsidP="00B93945">
      <w:pPr>
        <w:pStyle w:val="Akapitzlist"/>
        <w:numPr>
          <w:ilvl w:val="0"/>
          <w:numId w:val="10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>
        <w:rPr>
          <w:rFonts w:eastAsiaTheme="minorHAnsi" w:cs="Arial"/>
          <w:spacing w:val="0"/>
          <w:sz w:val="24"/>
          <w:szCs w:val="24"/>
        </w:rPr>
        <w:t>długotrwale bezrobotni</w:t>
      </w:r>
    </w:p>
    <w:p w14:paraId="54BD3FD0" w14:textId="77777777" w:rsidR="00B93945" w:rsidRDefault="00B93945" w:rsidP="00B93945">
      <w:pPr>
        <w:pStyle w:val="Akapitzlist"/>
        <w:numPr>
          <w:ilvl w:val="0"/>
          <w:numId w:val="11"/>
        </w:numPr>
        <w:spacing w:line="276" w:lineRule="auto"/>
        <w:rPr>
          <w:rFonts w:cs="Arial"/>
          <w:sz w:val="24"/>
          <w:szCs w:val="24"/>
        </w:rPr>
      </w:pPr>
      <w:r>
        <w:rPr>
          <w:rFonts w:eastAsiaTheme="minorHAnsi" w:cs="Arial"/>
          <w:spacing w:val="0"/>
          <w:sz w:val="24"/>
          <w:szCs w:val="24"/>
        </w:rPr>
        <w:t>osoby o niskich kwalifikacjach.</w:t>
      </w:r>
      <w:r>
        <w:rPr>
          <w:rFonts w:eastAsiaTheme="minorHAnsi" w:cs="Arial"/>
          <w:spacing w:val="0"/>
          <w:sz w:val="24"/>
          <w:szCs w:val="24"/>
        </w:rPr>
        <w:br/>
      </w:r>
    </w:p>
    <w:p w14:paraId="7B45F4D6" w14:textId="275ADA09" w:rsidR="00B93945" w:rsidRDefault="00B93945" w:rsidP="00B93945">
      <w:pPr>
        <w:pStyle w:val="Akapitzlist"/>
        <w:spacing w:line="276" w:lineRule="auto"/>
        <w:ind w:left="0"/>
        <w:rPr>
          <w:rFonts w:cs="Arial"/>
          <w:sz w:val="24"/>
          <w:szCs w:val="24"/>
        </w:rPr>
      </w:pPr>
      <w:r>
        <w:rPr>
          <w:rFonts w:eastAsiaTheme="minorHAnsi" w:cs="Arial"/>
          <w:spacing w:val="0"/>
          <w:sz w:val="24"/>
          <w:szCs w:val="24"/>
        </w:rPr>
        <w:t>Rezultatem projektu będzie doprowadzenie do zatrudnienia określonej liczby uczestników. Część z nich uzyska kwalifikacje lub kompetencje niezbędne na rynku pracy. Rezultaty projektu będą mierzone do 4 tygodni od dnia ukończenia projektu przez daną osobę bezrobotną.</w:t>
      </w:r>
      <w:r>
        <w:rPr>
          <w:rFonts w:eastAsiaTheme="minorHAnsi" w:cs="Arial"/>
          <w:spacing w:val="0"/>
          <w:sz w:val="24"/>
          <w:szCs w:val="24"/>
        </w:rPr>
        <w:br/>
      </w:r>
      <w:r>
        <w:rPr>
          <w:rFonts w:eastAsiaTheme="minorHAnsi" w:cs="Arial"/>
          <w:spacing w:val="0"/>
          <w:sz w:val="24"/>
          <w:szCs w:val="24"/>
        </w:rPr>
        <w:br/>
      </w:r>
      <w:r>
        <w:rPr>
          <w:rFonts w:cs="Arial"/>
          <w:bCs/>
          <w:sz w:val="24"/>
          <w:szCs w:val="24"/>
        </w:rPr>
        <w:t>Całkowita wartość projektu w latach 202</w:t>
      </w:r>
      <w:r w:rsidR="005800AC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>-202</w:t>
      </w:r>
      <w:r w:rsidR="005800AC">
        <w:rPr>
          <w:rFonts w:cs="Arial"/>
          <w:bCs/>
          <w:sz w:val="24"/>
          <w:szCs w:val="24"/>
        </w:rPr>
        <w:t>7</w:t>
      </w:r>
      <w:r>
        <w:rPr>
          <w:rFonts w:cs="Arial"/>
          <w:bCs/>
          <w:sz w:val="24"/>
          <w:szCs w:val="24"/>
        </w:rPr>
        <w:t xml:space="preserve"> wynosi: 8</w:t>
      </w:r>
      <w:r w:rsidR="005800AC">
        <w:rPr>
          <w:rFonts w:cs="Arial"/>
          <w:bCs/>
          <w:sz w:val="24"/>
          <w:szCs w:val="24"/>
        </w:rPr>
        <w:t xml:space="preserve"> 451 299,46 </w:t>
      </w:r>
      <w:r>
        <w:rPr>
          <w:rFonts w:cs="Arial"/>
          <w:bCs/>
          <w:sz w:val="24"/>
          <w:szCs w:val="24"/>
        </w:rPr>
        <w:t xml:space="preserve">zł, w tym dofinansowanie </w:t>
      </w:r>
      <w:r w:rsidR="005800AC">
        <w:rPr>
          <w:rFonts w:cs="Arial"/>
          <w:bCs/>
          <w:sz w:val="24"/>
          <w:szCs w:val="24"/>
        </w:rPr>
        <w:br/>
      </w:r>
      <w:r>
        <w:rPr>
          <w:rFonts w:cs="Arial"/>
          <w:bCs/>
          <w:sz w:val="24"/>
          <w:szCs w:val="24"/>
        </w:rPr>
        <w:t xml:space="preserve">z Funduszy Europejskich wynosi:  </w:t>
      </w:r>
      <w:r w:rsidR="005800AC">
        <w:rPr>
          <w:rFonts w:cs="Arial"/>
          <w:bCs/>
          <w:sz w:val="24"/>
          <w:szCs w:val="24"/>
        </w:rPr>
        <w:t>7 183 604,54</w:t>
      </w:r>
      <w:r>
        <w:rPr>
          <w:rFonts w:cs="Arial"/>
          <w:bCs/>
          <w:sz w:val="24"/>
          <w:szCs w:val="24"/>
        </w:rPr>
        <w:t xml:space="preserve"> zł</w:t>
      </w:r>
      <w:r>
        <w:rPr>
          <w:rFonts w:cs="Arial"/>
          <w:bCs/>
          <w:sz w:val="24"/>
          <w:szCs w:val="24"/>
        </w:rPr>
        <w:br/>
        <w:t>W ramach projektu realizowane będą następujące zadania:</w:t>
      </w:r>
      <w:r>
        <w:rPr>
          <w:rFonts w:cs="Arial"/>
          <w:bCs/>
          <w:sz w:val="24"/>
          <w:szCs w:val="24"/>
        </w:rPr>
        <w:br/>
      </w:r>
    </w:p>
    <w:p w14:paraId="45CEB39F" w14:textId="77777777" w:rsidR="00B93945" w:rsidRDefault="00B93945" w:rsidP="00B93945">
      <w:pPr>
        <w:pStyle w:val="Akapitzlist"/>
        <w:numPr>
          <w:ilvl w:val="0"/>
          <w:numId w:val="12"/>
        </w:numPr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Staże</w:t>
      </w:r>
    </w:p>
    <w:p w14:paraId="25CDBA99" w14:textId="77777777" w:rsidR="00B93945" w:rsidRDefault="00B93945" w:rsidP="00B93945">
      <w:pPr>
        <w:pStyle w:val="Akapitzlist"/>
        <w:numPr>
          <w:ilvl w:val="0"/>
          <w:numId w:val="12"/>
        </w:numPr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Szkolenia indywidualne</w:t>
      </w:r>
    </w:p>
    <w:p w14:paraId="607C3F45" w14:textId="77777777" w:rsidR="00B93945" w:rsidRDefault="00B93945" w:rsidP="00B93945">
      <w:pPr>
        <w:pStyle w:val="Akapitzlist"/>
        <w:numPr>
          <w:ilvl w:val="0"/>
          <w:numId w:val="12"/>
        </w:numPr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Bony szkoleniowe</w:t>
      </w:r>
    </w:p>
    <w:p w14:paraId="1994230B" w14:textId="77777777" w:rsidR="00B93945" w:rsidRDefault="00B93945" w:rsidP="00B93945">
      <w:pPr>
        <w:pStyle w:val="Akapitzlist"/>
        <w:numPr>
          <w:ilvl w:val="0"/>
          <w:numId w:val="12"/>
        </w:numPr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Bony na zasiedlenie</w:t>
      </w:r>
    </w:p>
    <w:p w14:paraId="631122D4" w14:textId="77777777" w:rsidR="00B93945" w:rsidRDefault="00B93945" w:rsidP="00B93945">
      <w:pPr>
        <w:pStyle w:val="Akapitzlist"/>
        <w:numPr>
          <w:ilvl w:val="0"/>
          <w:numId w:val="12"/>
        </w:numPr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Jednorazowe środki na rozpoczęcie działalności gospodarczej</w:t>
      </w:r>
    </w:p>
    <w:p w14:paraId="237203F2" w14:textId="77777777" w:rsidR="00B93945" w:rsidRDefault="00B93945" w:rsidP="00B93945">
      <w:pPr>
        <w:pStyle w:val="Akapitzlist"/>
        <w:numPr>
          <w:ilvl w:val="0"/>
          <w:numId w:val="12"/>
        </w:numPr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Refundacja pracodawcy kosztów wyposażenia lub doposażenia stanowiska pracy.</w:t>
      </w:r>
      <w:r>
        <w:rPr>
          <w:rFonts w:cs="Arial"/>
          <w:bCs/>
          <w:sz w:val="24"/>
          <w:szCs w:val="24"/>
        </w:rPr>
        <w:br/>
      </w:r>
    </w:p>
    <w:p w14:paraId="680E2817" w14:textId="77777777" w:rsidR="00B93945" w:rsidRDefault="00B93945" w:rsidP="00B93945">
      <w:pPr>
        <w:spacing w:after="240"/>
        <w:ind w:left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Nabór wniosków na poszczególne formy aktywizacji będzie trwał do wyczerpania zaplanowanych środków finansowanych. Wnioski do pobrania dostępne są na stronie internetowej Urzędu, </w:t>
      </w:r>
      <w:r>
        <w:rPr>
          <w:rFonts w:cs="Arial"/>
          <w:bCs/>
          <w:sz w:val="24"/>
          <w:szCs w:val="24"/>
        </w:rPr>
        <w:br/>
        <w:t>w zakładce dokumenty do pobrania</w:t>
      </w:r>
      <w:r>
        <w:rPr>
          <w:rFonts w:cs="Arial"/>
          <w:bCs/>
          <w:sz w:val="24"/>
          <w:szCs w:val="24"/>
        </w:rPr>
        <w:br/>
      </w:r>
    </w:p>
    <w:p w14:paraId="0224D7A5" w14:textId="77777777" w:rsidR="00B93945" w:rsidRDefault="00B93945" w:rsidP="00B93945">
      <w:pPr>
        <w:autoSpaceDE w:val="0"/>
        <w:autoSpaceDN w:val="0"/>
        <w:adjustRightInd w:val="0"/>
        <w:ind w:left="0"/>
        <w:rPr>
          <w:rFonts w:eastAsiaTheme="minorHAnsi" w:cs="Arial"/>
          <w:bCs/>
          <w:spacing w:val="0"/>
          <w:sz w:val="24"/>
          <w:szCs w:val="24"/>
        </w:rPr>
      </w:pPr>
      <w:r>
        <w:rPr>
          <w:rFonts w:eastAsiaTheme="minorHAnsi" w:cs="Arial"/>
          <w:bCs/>
          <w:spacing w:val="0"/>
          <w:sz w:val="24"/>
          <w:szCs w:val="24"/>
        </w:rPr>
        <w:t xml:space="preserve">Szczegółowych informacji udzielają pracownicy Powiatowego Urzędu Pracy w Zielonej Górze: </w:t>
      </w:r>
      <w:r w:rsidRPr="005800AC">
        <w:rPr>
          <w:rFonts w:eastAsiaTheme="minorHAnsi" w:cs="Arial"/>
          <w:b/>
          <w:spacing w:val="0"/>
          <w:sz w:val="24"/>
          <w:szCs w:val="24"/>
        </w:rPr>
        <w:t>staże (pokój 313 tel. 684565646), szkolenia i bony szkoleniowe (pokój 305 tel. 684565658), bony na zasiedlenie (pokój 309 tel. 684565649), jednorazowe środki na rozpoczęcie działalności gospodarczej i refundacja pracodawcy kosztów wyposażenia lub doposażenia stanowiska pracy (pokój 304 tel.684565673)</w:t>
      </w:r>
    </w:p>
    <w:p w14:paraId="61689797" w14:textId="77777777" w:rsidR="0062654A" w:rsidRDefault="0062654A" w:rsidP="00F3508A">
      <w:pPr>
        <w:autoSpaceDE w:val="0"/>
        <w:autoSpaceDN w:val="0"/>
        <w:adjustRightInd w:val="0"/>
        <w:ind w:left="0"/>
        <w:rPr>
          <w:rFonts w:eastAsiaTheme="minorHAnsi" w:cs="Arial"/>
          <w:bCs/>
          <w:spacing w:val="0"/>
          <w:sz w:val="24"/>
          <w:szCs w:val="24"/>
        </w:rPr>
      </w:pPr>
    </w:p>
    <w:p w14:paraId="1FDFA978" w14:textId="04172C3C" w:rsidR="0062654A" w:rsidRPr="00F3508A" w:rsidRDefault="0062654A" w:rsidP="00F3508A">
      <w:pPr>
        <w:autoSpaceDE w:val="0"/>
        <w:autoSpaceDN w:val="0"/>
        <w:adjustRightInd w:val="0"/>
        <w:ind w:left="0"/>
        <w:rPr>
          <w:rFonts w:eastAsiaTheme="minorHAnsi" w:cs="Arial"/>
          <w:bCs/>
          <w:spacing w:val="0"/>
          <w:sz w:val="24"/>
          <w:szCs w:val="24"/>
        </w:rPr>
      </w:pPr>
      <w:r>
        <w:rPr>
          <w:rFonts w:eastAsiaTheme="minorHAnsi" w:cs="Arial"/>
          <w:bCs/>
          <w:spacing w:val="0"/>
          <w:sz w:val="24"/>
          <w:szCs w:val="24"/>
        </w:rPr>
        <w:t>#FunduszeEuropejskie</w:t>
      </w:r>
    </w:p>
    <w:sectPr w:rsidR="0062654A" w:rsidRPr="00F3508A" w:rsidSect="00415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0045" w14:textId="77777777" w:rsidR="00415D4C" w:rsidRDefault="00415D4C" w:rsidP="00415D4C">
      <w:r>
        <w:separator/>
      </w:r>
    </w:p>
  </w:endnote>
  <w:endnote w:type="continuationSeparator" w:id="0">
    <w:p w14:paraId="70C363DD" w14:textId="77777777" w:rsidR="00415D4C" w:rsidRDefault="00415D4C" w:rsidP="0041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4E97" w14:textId="77777777" w:rsidR="00415D4C" w:rsidRDefault="00415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4854" w14:textId="77777777" w:rsidR="00415D4C" w:rsidRDefault="00415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709A" w14:textId="77777777" w:rsidR="00415D4C" w:rsidRDefault="00415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CDFA" w14:textId="77777777" w:rsidR="00415D4C" w:rsidRDefault="00415D4C" w:rsidP="00415D4C">
      <w:r>
        <w:separator/>
      </w:r>
    </w:p>
  </w:footnote>
  <w:footnote w:type="continuationSeparator" w:id="0">
    <w:p w14:paraId="234F54F9" w14:textId="77777777" w:rsidR="00415D4C" w:rsidRDefault="00415D4C" w:rsidP="0041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E077" w14:textId="77777777" w:rsidR="00415D4C" w:rsidRDefault="00415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F661" w14:textId="77777777" w:rsidR="00415D4C" w:rsidRDefault="00415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652" w14:textId="77777777" w:rsidR="00415D4C" w:rsidRDefault="00415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491"/>
    <w:multiLevelType w:val="hybridMultilevel"/>
    <w:tmpl w:val="3698D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49"/>
    <w:multiLevelType w:val="hybridMultilevel"/>
    <w:tmpl w:val="FCEEC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61A0"/>
    <w:multiLevelType w:val="hybridMultilevel"/>
    <w:tmpl w:val="3C1A3A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2DEE"/>
    <w:multiLevelType w:val="hybridMultilevel"/>
    <w:tmpl w:val="6BA2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1D80"/>
    <w:multiLevelType w:val="hybridMultilevel"/>
    <w:tmpl w:val="594657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A3FE3"/>
    <w:multiLevelType w:val="hybridMultilevel"/>
    <w:tmpl w:val="336AC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44DD"/>
    <w:multiLevelType w:val="hybridMultilevel"/>
    <w:tmpl w:val="CB8AF7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0CD1"/>
    <w:multiLevelType w:val="hybridMultilevel"/>
    <w:tmpl w:val="B5DA0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1934">
    <w:abstractNumId w:val="6"/>
  </w:num>
  <w:num w:numId="2" w16cid:durableId="1622834124">
    <w:abstractNumId w:val="0"/>
  </w:num>
  <w:num w:numId="3" w16cid:durableId="1254629135">
    <w:abstractNumId w:val="5"/>
  </w:num>
  <w:num w:numId="4" w16cid:durableId="2061055999">
    <w:abstractNumId w:val="7"/>
  </w:num>
  <w:num w:numId="5" w16cid:durableId="2071148468">
    <w:abstractNumId w:val="3"/>
  </w:num>
  <w:num w:numId="6" w16cid:durableId="1349599463">
    <w:abstractNumId w:val="2"/>
  </w:num>
  <w:num w:numId="7" w16cid:durableId="1660649278">
    <w:abstractNumId w:val="4"/>
  </w:num>
  <w:num w:numId="8" w16cid:durableId="1210801505">
    <w:abstractNumId w:val="1"/>
  </w:num>
  <w:num w:numId="9" w16cid:durableId="1337347156">
    <w:abstractNumId w:val="2"/>
  </w:num>
  <w:num w:numId="10" w16cid:durableId="1601795272">
    <w:abstractNumId w:val="4"/>
  </w:num>
  <w:num w:numId="11" w16cid:durableId="553388235">
    <w:abstractNumId w:val="1"/>
  </w:num>
  <w:num w:numId="12" w16cid:durableId="382215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1"/>
    <w:rsid w:val="00024DE1"/>
    <w:rsid w:val="00062E4D"/>
    <w:rsid w:val="00082E78"/>
    <w:rsid w:val="0009262A"/>
    <w:rsid w:val="000D0A8D"/>
    <w:rsid w:val="000D5697"/>
    <w:rsid w:val="000F1C21"/>
    <w:rsid w:val="001F085F"/>
    <w:rsid w:val="00211647"/>
    <w:rsid w:val="002B1473"/>
    <w:rsid w:val="0030026C"/>
    <w:rsid w:val="00386689"/>
    <w:rsid w:val="003A276F"/>
    <w:rsid w:val="003E130E"/>
    <w:rsid w:val="003E6155"/>
    <w:rsid w:val="00415D4C"/>
    <w:rsid w:val="004A22B6"/>
    <w:rsid w:val="004B2214"/>
    <w:rsid w:val="004E29BC"/>
    <w:rsid w:val="004F612B"/>
    <w:rsid w:val="005138ED"/>
    <w:rsid w:val="00527462"/>
    <w:rsid w:val="005506DF"/>
    <w:rsid w:val="00570199"/>
    <w:rsid w:val="005800AC"/>
    <w:rsid w:val="005C3B05"/>
    <w:rsid w:val="00600EC8"/>
    <w:rsid w:val="0062654A"/>
    <w:rsid w:val="00626BBA"/>
    <w:rsid w:val="006422DC"/>
    <w:rsid w:val="006B4BA0"/>
    <w:rsid w:val="00751A33"/>
    <w:rsid w:val="00795D55"/>
    <w:rsid w:val="00844670"/>
    <w:rsid w:val="008538D3"/>
    <w:rsid w:val="00880052"/>
    <w:rsid w:val="00925C5B"/>
    <w:rsid w:val="00925F54"/>
    <w:rsid w:val="009457A4"/>
    <w:rsid w:val="00974C23"/>
    <w:rsid w:val="00993F1A"/>
    <w:rsid w:val="009B1984"/>
    <w:rsid w:val="00A1280C"/>
    <w:rsid w:val="00B10FBF"/>
    <w:rsid w:val="00B93945"/>
    <w:rsid w:val="00BA5BA4"/>
    <w:rsid w:val="00BD31FB"/>
    <w:rsid w:val="00C4331E"/>
    <w:rsid w:val="00C8126F"/>
    <w:rsid w:val="00C84E08"/>
    <w:rsid w:val="00CD6C87"/>
    <w:rsid w:val="00D3077D"/>
    <w:rsid w:val="00D66051"/>
    <w:rsid w:val="00DA7675"/>
    <w:rsid w:val="00E144AD"/>
    <w:rsid w:val="00E61F03"/>
    <w:rsid w:val="00E65FA7"/>
    <w:rsid w:val="00E777E2"/>
    <w:rsid w:val="00E87404"/>
    <w:rsid w:val="00EA7775"/>
    <w:rsid w:val="00F304D1"/>
    <w:rsid w:val="00F32602"/>
    <w:rsid w:val="00F3508A"/>
    <w:rsid w:val="00F63BF1"/>
    <w:rsid w:val="00F72523"/>
    <w:rsid w:val="00F8639B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4BE0"/>
  <w15:docId w15:val="{1890997C-F7BA-4586-92F7-D8B1F6EA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4D1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0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26C"/>
    <w:rPr>
      <w:rFonts w:ascii="Tahoma" w:eastAsia="Times New Roman" w:hAnsi="Tahoma" w:cs="Tahoma"/>
      <w:spacing w:val="-5"/>
      <w:sz w:val="16"/>
      <w:szCs w:val="16"/>
    </w:rPr>
  </w:style>
  <w:style w:type="character" w:styleId="Hipercze">
    <w:name w:val="Hyperlink"/>
    <w:rsid w:val="003A27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C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D4C"/>
    <w:rPr>
      <w:rFonts w:ascii="Arial" w:eastAsia="Times New Roman" w:hAnsi="Arial" w:cs="Times New Roman"/>
      <w:spacing w:val="-5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15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D4C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ycinek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Wycin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Lebioda</dc:creator>
  <cp:lastModifiedBy>Marta Dalecka</cp:lastModifiedBy>
  <cp:revision>33</cp:revision>
  <cp:lastPrinted>2019-06-03T08:38:00Z</cp:lastPrinted>
  <dcterms:created xsi:type="dcterms:W3CDTF">2020-03-03T12:15:00Z</dcterms:created>
  <dcterms:modified xsi:type="dcterms:W3CDTF">2025-01-15T11:57:00Z</dcterms:modified>
</cp:coreProperties>
</file>